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25" w:rsidRPr="00501E25" w:rsidRDefault="00501E25" w:rsidP="00501E25">
      <w:pPr>
        <w:widowControl/>
        <w:shd w:val="clear" w:color="auto" w:fill="FFFFFF"/>
        <w:jc w:val="center"/>
        <w:outlineLvl w:val="3"/>
        <w:rPr>
          <w:rFonts w:ascii="微软雅黑" w:eastAsia="微软雅黑" w:hAnsi="微软雅黑" w:cs="宋体"/>
          <w:color w:val="333333"/>
          <w:kern w:val="0"/>
          <w:sz w:val="27"/>
          <w:szCs w:val="27"/>
        </w:rPr>
      </w:pPr>
      <w:r w:rsidRPr="00501E25">
        <w:rPr>
          <w:rFonts w:ascii="微软雅黑" w:eastAsia="微软雅黑" w:hAnsi="微软雅黑" w:cs="宋体" w:hint="eastAsia"/>
          <w:color w:val="333333"/>
          <w:kern w:val="0"/>
          <w:sz w:val="27"/>
          <w:szCs w:val="27"/>
        </w:rPr>
        <w:t>基金产品风险评价方法及其说明</w:t>
      </w:r>
    </w:p>
    <w:p w:rsidR="00501E25" w:rsidRPr="00501E25" w:rsidRDefault="00501E25" w:rsidP="00501E25">
      <w:pPr>
        <w:widowControl/>
        <w:shd w:val="clear" w:color="auto" w:fill="FFFFFF"/>
        <w:spacing w:line="360" w:lineRule="atLeast"/>
        <w:jc w:val="left"/>
        <w:rPr>
          <w:rFonts w:ascii="等线" w:eastAsia="等线" w:hAnsi="等线" w:cs="宋体"/>
          <w:color w:val="666666"/>
          <w:kern w:val="0"/>
          <w:szCs w:val="21"/>
        </w:rPr>
      </w:pPr>
      <w:r w:rsidRPr="00501E25">
        <w:rPr>
          <w:rFonts w:ascii="仿宋" w:eastAsia="仿宋" w:hAnsi="仿宋" w:cs="宋体" w:hint="eastAsia"/>
          <w:color w:val="666666"/>
          <w:kern w:val="0"/>
          <w:sz w:val="22"/>
        </w:rPr>
        <w:t>尊敬的基金投资人：</w:t>
      </w:r>
    </w:p>
    <w:p w:rsidR="00501E25" w:rsidRPr="00501E25" w:rsidRDefault="00501E25" w:rsidP="00501E25">
      <w:pPr>
        <w:widowControl/>
        <w:shd w:val="clear" w:color="auto" w:fill="FFFFFF"/>
        <w:spacing w:line="450" w:lineRule="atLeast"/>
        <w:ind w:firstLine="440"/>
        <w:jc w:val="left"/>
        <w:rPr>
          <w:rFonts w:ascii="等线" w:eastAsia="等线" w:hAnsi="等线" w:cs="宋体" w:hint="eastAsia"/>
          <w:color w:val="666666"/>
          <w:kern w:val="0"/>
          <w:szCs w:val="21"/>
        </w:rPr>
      </w:pPr>
      <w:r w:rsidRPr="00501E25">
        <w:rPr>
          <w:rFonts w:ascii="仿宋" w:eastAsia="仿宋" w:hAnsi="仿宋" w:cs="宋体" w:hint="eastAsia"/>
          <w:color w:val="666666"/>
          <w:kern w:val="0"/>
          <w:sz w:val="22"/>
        </w:rPr>
        <w:t>根据中国证监会推出的《证券投资基金销售适用性指导意见》（以下简称《指导意见》），基金销售机构在销售基金和相关产品的过程中，应该根据基金投资人不同的风险承受能力销售不同风险等级的产品，即把合适的产品卖给合适的基金投资人。</w:t>
      </w:r>
    </w:p>
    <w:p w:rsidR="00501E25" w:rsidRPr="00501E25" w:rsidRDefault="00501E25" w:rsidP="00501E25">
      <w:pPr>
        <w:widowControl/>
        <w:shd w:val="clear" w:color="auto" w:fill="FFFFFF"/>
        <w:spacing w:line="450" w:lineRule="atLeast"/>
        <w:ind w:firstLine="442"/>
        <w:jc w:val="left"/>
        <w:rPr>
          <w:rFonts w:ascii="等线" w:eastAsia="等线" w:hAnsi="等线" w:cs="宋体" w:hint="eastAsia"/>
          <w:color w:val="666666"/>
          <w:kern w:val="0"/>
          <w:szCs w:val="21"/>
        </w:rPr>
      </w:pPr>
      <w:r w:rsidRPr="00501E25">
        <w:rPr>
          <w:rFonts w:ascii="仿宋" w:eastAsia="仿宋" w:hAnsi="仿宋" w:cs="宋体" w:hint="eastAsia"/>
          <w:b/>
          <w:bCs/>
          <w:color w:val="666666"/>
          <w:kern w:val="0"/>
          <w:sz w:val="22"/>
        </w:rPr>
        <w:t>一、产品风险等级划分</w:t>
      </w:r>
    </w:p>
    <w:p w:rsidR="00501E25" w:rsidRPr="00501E25" w:rsidRDefault="00501E25" w:rsidP="00501E25">
      <w:pPr>
        <w:widowControl/>
        <w:shd w:val="clear" w:color="auto" w:fill="FFFFFF"/>
        <w:spacing w:line="450" w:lineRule="atLeast"/>
        <w:ind w:firstLine="431"/>
        <w:rPr>
          <w:rFonts w:ascii="等线" w:eastAsia="等线" w:hAnsi="等线" w:cs="宋体" w:hint="eastAsia"/>
          <w:color w:val="666666"/>
          <w:kern w:val="0"/>
          <w:szCs w:val="21"/>
        </w:rPr>
      </w:pPr>
      <w:r w:rsidRPr="00501E25">
        <w:rPr>
          <w:rFonts w:ascii="仿宋" w:eastAsia="仿宋" w:hAnsi="仿宋" w:cs="宋体" w:hint="eastAsia"/>
          <w:color w:val="666666"/>
          <w:kern w:val="0"/>
          <w:sz w:val="22"/>
        </w:rPr>
        <w:t>我行可自行评价或委托第三</w:t>
      </w:r>
      <w:proofErr w:type="gramStart"/>
      <w:r w:rsidRPr="00501E25">
        <w:rPr>
          <w:rFonts w:ascii="仿宋" w:eastAsia="仿宋" w:hAnsi="仿宋" w:cs="宋体" w:hint="eastAsia"/>
          <w:color w:val="666666"/>
          <w:kern w:val="0"/>
          <w:sz w:val="22"/>
        </w:rPr>
        <w:t>方专业</w:t>
      </w:r>
      <w:proofErr w:type="gramEnd"/>
      <w:r w:rsidRPr="00501E25">
        <w:rPr>
          <w:rFonts w:ascii="仿宋" w:eastAsia="仿宋" w:hAnsi="仿宋" w:cs="宋体" w:hint="eastAsia"/>
          <w:color w:val="666666"/>
          <w:kern w:val="0"/>
          <w:sz w:val="22"/>
        </w:rPr>
        <w:t>基金评级与评价机构对基金产品风险进行评价划分。</w:t>
      </w:r>
    </w:p>
    <w:tbl>
      <w:tblPr>
        <w:tblW w:w="5000" w:type="pct"/>
        <w:shd w:val="clear" w:color="auto" w:fill="FFFFFF"/>
        <w:tblCellMar>
          <w:left w:w="0" w:type="dxa"/>
          <w:right w:w="0" w:type="dxa"/>
        </w:tblCellMar>
        <w:tblLook w:val="04A0" w:firstRow="1" w:lastRow="0" w:firstColumn="1" w:lastColumn="0" w:noHBand="0" w:noVBand="1"/>
      </w:tblPr>
      <w:tblGrid>
        <w:gridCol w:w="1424"/>
        <w:gridCol w:w="6862"/>
      </w:tblGrid>
      <w:tr w:rsidR="00501E25" w:rsidRPr="00501E25" w:rsidTr="00501E25">
        <w:trPr>
          <w:trHeight w:val="285"/>
        </w:trPr>
        <w:tc>
          <w:tcPr>
            <w:tcW w:w="85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color w:val="666666"/>
                <w:kern w:val="0"/>
                <w:szCs w:val="21"/>
              </w:rPr>
            </w:pPr>
            <w:r w:rsidRPr="00501E25">
              <w:rPr>
                <w:rFonts w:ascii="仿宋" w:eastAsia="仿宋" w:hAnsi="仿宋" w:cs="宋体" w:hint="eastAsia"/>
                <w:b/>
                <w:bCs/>
                <w:color w:val="666666"/>
                <w:kern w:val="0"/>
                <w:szCs w:val="21"/>
              </w:rPr>
              <w:t>风险等级</w:t>
            </w:r>
          </w:p>
        </w:tc>
        <w:tc>
          <w:tcPr>
            <w:tcW w:w="41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01E25" w:rsidRPr="00501E25" w:rsidRDefault="00501E25" w:rsidP="00501E25">
            <w:pPr>
              <w:widowControl/>
              <w:spacing w:line="315" w:lineRule="atLeast"/>
              <w:ind w:firstLine="482"/>
              <w:jc w:val="center"/>
              <w:rPr>
                <w:rFonts w:ascii="等线" w:eastAsia="等线" w:hAnsi="等线" w:cs="宋体" w:hint="eastAsia"/>
                <w:color w:val="666666"/>
                <w:kern w:val="0"/>
                <w:szCs w:val="21"/>
              </w:rPr>
            </w:pPr>
            <w:r w:rsidRPr="00501E25">
              <w:rPr>
                <w:rFonts w:ascii="仿宋" w:eastAsia="仿宋" w:hAnsi="仿宋" w:cs="宋体" w:hint="eastAsia"/>
                <w:b/>
                <w:bCs/>
                <w:color w:val="666666"/>
                <w:kern w:val="0"/>
                <w:szCs w:val="21"/>
              </w:rPr>
              <w:t>产品类型参考</w:t>
            </w:r>
          </w:p>
        </w:tc>
      </w:tr>
      <w:tr w:rsidR="00501E25" w:rsidRPr="00501E25" w:rsidTr="00501E25">
        <w:trPr>
          <w:trHeight w:val="285"/>
        </w:trPr>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15"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R1低风险</w:t>
            </w:r>
          </w:p>
        </w:tc>
        <w:tc>
          <w:tcPr>
            <w:tcW w:w="4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60"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货币市场基金</w:t>
            </w:r>
          </w:p>
        </w:tc>
      </w:tr>
      <w:tr w:rsidR="00501E25" w:rsidRPr="00501E25" w:rsidTr="00501E25">
        <w:trPr>
          <w:trHeight w:val="285"/>
        </w:trPr>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15"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R2中低风险</w:t>
            </w:r>
          </w:p>
        </w:tc>
        <w:tc>
          <w:tcPr>
            <w:tcW w:w="4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60"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普通债券基金</w:t>
            </w:r>
            <w:r>
              <w:rPr>
                <w:rFonts w:ascii="仿宋" w:eastAsia="仿宋" w:hAnsi="仿宋" w:cs="宋体" w:hint="eastAsia"/>
                <w:color w:val="666666"/>
                <w:kern w:val="0"/>
                <w:szCs w:val="21"/>
              </w:rPr>
              <w:t>、</w:t>
            </w:r>
            <w:r w:rsidRPr="00501E25">
              <w:rPr>
                <w:rFonts w:ascii="仿宋" w:eastAsia="仿宋" w:hAnsi="仿宋" w:cs="宋体" w:hint="eastAsia"/>
                <w:color w:val="666666"/>
                <w:kern w:val="0"/>
                <w:szCs w:val="21"/>
              </w:rPr>
              <w:t>混合型基金</w:t>
            </w:r>
          </w:p>
        </w:tc>
      </w:tr>
      <w:tr w:rsidR="00501E25" w:rsidRPr="00501E25" w:rsidTr="00501E25">
        <w:trPr>
          <w:trHeight w:val="285"/>
        </w:trPr>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15"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R3中风险</w:t>
            </w:r>
          </w:p>
        </w:tc>
        <w:tc>
          <w:tcPr>
            <w:tcW w:w="4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3D0036">
            <w:pPr>
              <w:widowControl/>
              <w:spacing w:line="360"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混合基金</w:t>
            </w:r>
            <w:r w:rsidR="003D0036">
              <w:rPr>
                <w:rFonts w:ascii="仿宋" w:eastAsia="仿宋" w:hAnsi="仿宋" w:cs="宋体" w:hint="eastAsia"/>
                <w:color w:val="666666"/>
                <w:kern w:val="0"/>
                <w:szCs w:val="21"/>
              </w:rPr>
              <w:t>、指数</w:t>
            </w:r>
            <w:r w:rsidR="003D0036" w:rsidRPr="00501E25">
              <w:rPr>
                <w:rFonts w:ascii="仿宋" w:eastAsia="仿宋" w:hAnsi="仿宋" w:cs="宋体" w:hint="eastAsia"/>
                <w:color w:val="666666"/>
                <w:kern w:val="0"/>
                <w:szCs w:val="21"/>
              </w:rPr>
              <w:t>基金</w:t>
            </w:r>
          </w:p>
        </w:tc>
      </w:tr>
      <w:tr w:rsidR="00501E25" w:rsidRPr="00501E25" w:rsidTr="00501E25">
        <w:trPr>
          <w:trHeight w:val="285"/>
        </w:trPr>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15"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R4中高风险</w:t>
            </w:r>
          </w:p>
        </w:tc>
        <w:tc>
          <w:tcPr>
            <w:tcW w:w="4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60"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混合型基金、股票型基金、商品类基金</w:t>
            </w:r>
          </w:p>
        </w:tc>
      </w:tr>
      <w:tr w:rsidR="00501E25" w:rsidRPr="00501E25" w:rsidTr="00501E25">
        <w:trPr>
          <w:trHeight w:val="285"/>
        </w:trPr>
        <w:tc>
          <w:tcPr>
            <w:tcW w:w="8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15"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R5高风险</w:t>
            </w:r>
          </w:p>
        </w:tc>
        <w:tc>
          <w:tcPr>
            <w:tcW w:w="4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01E25" w:rsidRPr="00501E25" w:rsidRDefault="00501E25" w:rsidP="00501E25">
            <w:pPr>
              <w:widowControl/>
              <w:spacing w:line="360" w:lineRule="atLeast"/>
              <w:jc w:val="left"/>
              <w:rPr>
                <w:rFonts w:ascii="等线" w:eastAsia="等线" w:hAnsi="等线" w:cs="宋体" w:hint="eastAsia"/>
                <w:color w:val="666666"/>
                <w:kern w:val="0"/>
                <w:szCs w:val="21"/>
              </w:rPr>
            </w:pPr>
            <w:r w:rsidRPr="00501E25">
              <w:rPr>
                <w:rFonts w:ascii="仿宋" w:eastAsia="仿宋" w:hAnsi="仿宋" w:cs="宋体" w:hint="eastAsia"/>
                <w:color w:val="666666"/>
                <w:kern w:val="0"/>
                <w:szCs w:val="21"/>
              </w:rPr>
              <w:t>股票型基金、商品类基金、</w:t>
            </w:r>
            <w:r w:rsidRPr="00501E25">
              <w:rPr>
                <w:rFonts w:ascii="仿宋" w:eastAsia="仿宋" w:hAnsi="仿宋" w:cs="宋体"/>
                <w:color w:val="666666"/>
                <w:kern w:val="0"/>
                <w:szCs w:val="21"/>
              </w:rPr>
              <w:t>QDII基金</w:t>
            </w:r>
          </w:p>
        </w:tc>
      </w:tr>
    </w:tbl>
    <w:p w:rsidR="00501E25" w:rsidRPr="00501E25" w:rsidRDefault="00501E25" w:rsidP="00501E25">
      <w:pPr>
        <w:widowControl/>
        <w:shd w:val="clear" w:color="auto" w:fill="FFFFFF"/>
        <w:spacing w:line="450" w:lineRule="atLeast"/>
        <w:rPr>
          <w:rFonts w:ascii="等线" w:eastAsia="等线" w:hAnsi="等线" w:cs="宋体" w:hint="eastAsia"/>
          <w:color w:val="666666"/>
          <w:kern w:val="0"/>
          <w:szCs w:val="21"/>
        </w:rPr>
      </w:pPr>
      <w:r w:rsidRPr="00501E25">
        <w:rPr>
          <w:rFonts w:ascii="宋体" w:eastAsia="宋体" w:hAnsi="宋体" w:cs="宋体" w:hint="eastAsia"/>
          <w:color w:val="666666"/>
          <w:kern w:val="0"/>
          <w:sz w:val="20"/>
          <w:szCs w:val="20"/>
        </w:rPr>
        <w:t> </w:t>
      </w:r>
    </w:p>
    <w:p w:rsidR="00501E25" w:rsidRPr="00501E25" w:rsidRDefault="00501E25" w:rsidP="00501E25">
      <w:pPr>
        <w:widowControl/>
        <w:shd w:val="clear" w:color="auto" w:fill="FFFFFF"/>
        <w:spacing w:line="450" w:lineRule="atLeast"/>
        <w:ind w:firstLine="433"/>
        <w:rPr>
          <w:rFonts w:ascii="等线" w:eastAsia="等线" w:hAnsi="等线" w:cs="宋体" w:hint="eastAsia"/>
          <w:color w:val="666666"/>
          <w:kern w:val="0"/>
          <w:szCs w:val="21"/>
        </w:rPr>
      </w:pPr>
      <w:r w:rsidRPr="00501E25">
        <w:rPr>
          <w:rFonts w:ascii="仿宋" w:eastAsia="仿宋" w:hAnsi="仿宋" w:cs="宋体" w:hint="eastAsia"/>
          <w:b/>
          <w:bCs/>
          <w:color w:val="666666"/>
          <w:kern w:val="0"/>
          <w:sz w:val="22"/>
        </w:rPr>
        <w:t>二、投资者风险承受能力划分</w:t>
      </w:r>
    </w:p>
    <w:p w:rsidR="00501E25" w:rsidRPr="00501E25" w:rsidRDefault="00501E25" w:rsidP="00501E25">
      <w:pPr>
        <w:widowControl/>
        <w:shd w:val="clear" w:color="auto" w:fill="FFFFFF"/>
        <w:spacing w:line="450" w:lineRule="atLeast"/>
        <w:ind w:firstLine="431"/>
        <w:rPr>
          <w:rFonts w:ascii="等线" w:eastAsia="等线" w:hAnsi="等线" w:cs="宋体" w:hint="eastAsia"/>
          <w:color w:val="666666"/>
          <w:kern w:val="0"/>
          <w:szCs w:val="21"/>
        </w:rPr>
      </w:pPr>
      <w:r w:rsidRPr="00501E25">
        <w:rPr>
          <w:rFonts w:ascii="仿宋" w:eastAsia="仿宋" w:hAnsi="仿宋" w:cs="宋体" w:hint="eastAsia"/>
          <w:color w:val="666666"/>
          <w:kern w:val="0"/>
          <w:sz w:val="22"/>
        </w:rPr>
        <w:t>我行对普通投资者的评价以风险承受能力类型具体反映，包括C1保守型、C2稳健型、C3平衡型、C4进取型、C5投机型五种风险承受能力等级。</w:t>
      </w:r>
    </w:p>
    <w:tbl>
      <w:tblPr>
        <w:tblW w:w="105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9"/>
        <w:gridCol w:w="1470"/>
        <w:gridCol w:w="7936"/>
      </w:tblGrid>
      <w:tr w:rsidR="00501E25" w:rsidRPr="00501E25" w:rsidTr="00501E25">
        <w:trPr>
          <w:trHeight w:val="615"/>
          <w:jc w:val="center"/>
        </w:trPr>
        <w:tc>
          <w:tcPr>
            <w:tcW w:w="10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501E25" w:rsidRPr="00501E25" w:rsidRDefault="00501E25" w:rsidP="00501E25">
            <w:pPr>
              <w:widowControl/>
              <w:spacing w:line="315" w:lineRule="atLeast"/>
              <w:jc w:val="left"/>
              <w:rPr>
                <w:rFonts w:ascii="等线" w:eastAsia="等线" w:hAnsi="等线" w:cs="宋体" w:hint="eastAsia"/>
                <w:kern w:val="0"/>
                <w:szCs w:val="21"/>
              </w:rPr>
            </w:pPr>
            <w:r w:rsidRPr="00501E25">
              <w:rPr>
                <w:rFonts w:ascii="仿宋" w:eastAsia="仿宋" w:hAnsi="仿宋" w:cs="宋体" w:hint="eastAsia"/>
                <w:b/>
                <w:bCs/>
                <w:color w:val="666666"/>
                <w:kern w:val="0"/>
                <w:szCs w:val="21"/>
              </w:rPr>
              <w:t>客户类型</w:t>
            </w:r>
          </w:p>
        </w:tc>
        <w:tc>
          <w:tcPr>
            <w:tcW w:w="139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01E25" w:rsidRPr="00501E25" w:rsidRDefault="00501E25" w:rsidP="00501E25">
            <w:pPr>
              <w:widowControl/>
              <w:spacing w:line="315" w:lineRule="atLeast"/>
              <w:ind w:firstLine="482"/>
              <w:jc w:val="left"/>
              <w:rPr>
                <w:rFonts w:ascii="等线" w:eastAsia="等线" w:hAnsi="等线" w:cs="宋体" w:hint="eastAsia"/>
                <w:kern w:val="0"/>
                <w:szCs w:val="21"/>
              </w:rPr>
            </w:pPr>
            <w:r w:rsidRPr="00501E25">
              <w:rPr>
                <w:rFonts w:ascii="仿宋" w:eastAsia="仿宋" w:hAnsi="仿宋" w:cs="宋体" w:hint="eastAsia"/>
                <w:b/>
                <w:bCs/>
                <w:color w:val="666666"/>
                <w:kern w:val="0"/>
                <w:szCs w:val="21"/>
              </w:rPr>
              <w:t>名称</w:t>
            </w:r>
          </w:p>
        </w:tc>
        <w:tc>
          <w:tcPr>
            <w:tcW w:w="742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01E25" w:rsidRPr="00501E25" w:rsidRDefault="00501E25" w:rsidP="00501E25">
            <w:pPr>
              <w:widowControl/>
              <w:spacing w:line="315" w:lineRule="atLeast"/>
              <w:ind w:firstLine="482"/>
              <w:jc w:val="center"/>
              <w:rPr>
                <w:rFonts w:ascii="等线" w:eastAsia="等线" w:hAnsi="等线" w:cs="宋体" w:hint="eastAsia"/>
                <w:kern w:val="0"/>
                <w:szCs w:val="21"/>
              </w:rPr>
            </w:pPr>
            <w:r w:rsidRPr="00501E25">
              <w:rPr>
                <w:rFonts w:ascii="仿宋" w:eastAsia="仿宋" w:hAnsi="仿宋" w:cs="宋体" w:hint="eastAsia"/>
                <w:b/>
                <w:bCs/>
                <w:color w:val="666666"/>
                <w:kern w:val="0"/>
                <w:szCs w:val="21"/>
              </w:rPr>
              <w:t>概念涵义</w:t>
            </w:r>
          </w:p>
        </w:tc>
      </w:tr>
      <w:tr w:rsidR="00501E25" w:rsidRPr="00501E25" w:rsidTr="00501E25">
        <w:trPr>
          <w:trHeight w:val="515"/>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C1</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保守型</w:t>
            </w:r>
          </w:p>
        </w:tc>
        <w:tc>
          <w:tcPr>
            <w:tcW w:w="7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该类型投资者的风险承受能力最低，以获得非常稳定的投资收益为目标。</w:t>
            </w:r>
          </w:p>
        </w:tc>
      </w:tr>
      <w:tr w:rsidR="00501E25" w:rsidRPr="00501E25" w:rsidTr="00501E25">
        <w:trPr>
          <w:trHeight w:val="515"/>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C2</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稳健型</w:t>
            </w:r>
          </w:p>
        </w:tc>
        <w:tc>
          <w:tcPr>
            <w:tcW w:w="7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该类型投资者的风险承受能力中低，以获得相对稳定的投资收益为目标。</w:t>
            </w:r>
          </w:p>
        </w:tc>
      </w:tr>
      <w:tr w:rsidR="00501E25" w:rsidRPr="00501E25" w:rsidTr="00501E25">
        <w:trPr>
          <w:trHeight w:val="515"/>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C3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平衡型</w:t>
            </w:r>
          </w:p>
        </w:tc>
        <w:tc>
          <w:tcPr>
            <w:tcW w:w="7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该类型投资者的风险承受能力为中等，以获得中等收益水平为目标。</w:t>
            </w:r>
          </w:p>
        </w:tc>
      </w:tr>
      <w:tr w:rsidR="00501E25" w:rsidRPr="00501E25" w:rsidTr="00501E25">
        <w:trPr>
          <w:trHeight w:val="515"/>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C4</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进取型</w:t>
            </w:r>
          </w:p>
        </w:tc>
        <w:tc>
          <w:tcPr>
            <w:tcW w:w="7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该类型投资者的风险承受能力为中高，以获得中高收益水平为目标。</w:t>
            </w:r>
          </w:p>
        </w:tc>
      </w:tr>
      <w:tr w:rsidR="00501E25" w:rsidRPr="00501E25" w:rsidTr="00501E25">
        <w:trPr>
          <w:trHeight w:val="515"/>
          <w:jc w:val="center"/>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C5</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投机型</w:t>
            </w:r>
          </w:p>
        </w:tc>
        <w:tc>
          <w:tcPr>
            <w:tcW w:w="7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1E25" w:rsidRPr="00501E25" w:rsidRDefault="00501E25" w:rsidP="00501E25">
            <w:pPr>
              <w:widowControl/>
              <w:spacing w:line="315" w:lineRule="atLeast"/>
              <w:jc w:val="center"/>
              <w:rPr>
                <w:rFonts w:ascii="等线" w:eastAsia="等线" w:hAnsi="等线" w:cs="宋体" w:hint="eastAsia"/>
                <w:kern w:val="0"/>
                <w:szCs w:val="21"/>
              </w:rPr>
            </w:pPr>
            <w:r w:rsidRPr="00501E25">
              <w:rPr>
                <w:rFonts w:ascii="仿宋" w:eastAsia="仿宋" w:hAnsi="仿宋" w:cs="宋体" w:hint="eastAsia"/>
                <w:color w:val="666666"/>
                <w:kern w:val="0"/>
                <w:szCs w:val="21"/>
              </w:rPr>
              <w:t>该类型投资者的风险承受能力最高，以获得高收益水平为目标。</w:t>
            </w:r>
          </w:p>
        </w:tc>
      </w:tr>
    </w:tbl>
    <w:p w:rsidR="00501E25" w:rsidRPr="00501E25" w:rsidRDefault="00501E25" w:rsidP="00501E25">
      <w:pPr>
        <w:widowControl/>
        <w:shd w:val="clear" w:color="auto" w:fill="FFFFFF"/>
        <w:spacing w:line="450" w:lineRule="atLeast"/>
        <w:rPr>
          <w:rFonts w:ascii="等线" w:eastAsia="等线" w:hAnsi="等线" w:cs="宋体" w:hint="eastAsia"/>
          <w:color w:val="666666"/>
          <w:kern w:val="0"/>
          <w:szCs w:val="21"/>
        </w:rPr>
      </w:pPr>
      <w:r w:rsidRPr="00501E25">
        <w:rPr>
          <w:rFonts w:ascii="宋体" w:eastAsia="宋体" w:hAnsi="宋体" w:cs="宋体" w:hint="eastAsia"/>
          <w:color w:val="666666"/>
          <w:kern w:val="0"/>
          <w:sz w:val="20"/>
          <w:szCs w:val="20"/>
        </w:rPr>
        <w:t> </w:t>
      </w:r>
    </w:p>
    <w:p w:rsidR="00501E25" w:rsidRPr="00501E25" w:rsidRDefault="00501E25" w:rsidP="00501E25">
      <w:pPr>
        <w:widowControl/>
        <w:shd w:val="clear" w:color="auto" w:fill="FFFFFF"/>
        <w:spacing w:line="450" w:lineRule="atLeast"/>
        <w:ind w:firstLine="431"/>
        <w:rPr>
          <w:rFonts w:ascii="等线" w:eastAsia="等线" w:hAnsi="等线" w:cs="宋体" w:hint="eastAsia"/>
          <w:color w:val="666666"/>
          <w:kern w:val="0"/>
          <w:szCs w:val="21"/>
        </w:rPr>
      </w:pPr>
      <w:r w:rsidRPr="00501E25">
        <w:rPr>
          <w:rFonts w:ascii="仿宋" w:eastAsia="仿宋" w:hAnsi="仿宋" w:cs="宋体" w:hint="eastAsia"/>
          <w:color w:val="666666"/>
          <w:kern w:val="0"/>
          <w:sz w:val="22"/>
        </w:rPr>
        <w:t>最低风险承受能力类别（C1保守型）不得购买高于其风险承受能力的产品。我行部分自主渠道的基金交易服务由上海长量基金销售有限公司提供服务，具体风险评价方法及相关说明详见附件。</w:t>
      </w:r>
    </w:p>
    <w:p w:rsidR="003B3043" w:rsidRPr="00501E25" w:rsidRDefault="003B3043">
      <w:bookmarkStart w:id="0" w:name="_GoBack"/>
      <w:bookmarkEnd w:id="0"/>
    </w:p>
    <w:sectPr w:rsidR="003B3043" w:rsidRPr="00501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F5"/>
    <w:rsid w:val="00003903"/>
    <w:rsid w:val="00060744"/>
    <w:rsid w:val="000671E4"/>
    <w:rsid w:val="00100031"/>
    <w:rsid w:val="0012321A"/>
    <w:rsid w:val="001540D6"/>
    <w:rsid w:val="00160AC8"/>
    <w:rsid w:val="00173CF8"/>
    <w:rsid w:val="00183FCD"/>
    <w:rsid w:val="0019457C"/>
    <w:rsid w:val="001C3FEB"/>
    <w:rsid w:val="002124CA"/>
    <w:rsid w:val="00270C80"/>
    <w:rsid w:val="002A62AC"/>
    <w:rsid w:val="002C5A9F"/>
    <w:rsid w:val="002C7E0D"/>
    <w:rsid w:val="00314BF5"/>
    <w:rsid w:val="0036275F"/>
    <w:rsid w:val="003B3043"/>
    <w:rsid w:val="003B3E8B"/>
    <w:rsid w:val="003D0036"/>
    <w:rsid w:val="00407B84"/>
    <w:rsid w:val="0041033B"/>
    <w:rsid w:val="00426051"/>
    <w:rsid w:val="004F0EDA"/>
    <w:rsid w:val="004F287B"/>
    <w:rsid w:val="00501E25"/>
    <w:rsid w:val="005076A8"/>
    <w:rsid w:val="005173C7"/>
    <w:rsid w:val="00531BFE"/>
    <w:rsid w:val="00566D25"/>
    <w:rsid w:val="005744F5"/>
    <w:rsid w:val="005B2F99"/>
    <w:rsid w:val="005E30A1"/>
    <w:rsid w:val="00624551"/>
    <w:rsid w:val="00663F08"/>
    <w:rsid w:val="00730AE1"/>
    <w:rsid w:val="007C34F5"/>
    <w:rsid w:val="007D3A25"/>
    <w:rsid w:val="008029DF"/>
    <w:rsid w:val="00813B6E"/>
    <w:rsid w:val="00815508"/>
    <w:rsid w:val="008275B3"/>
    <w:rsid w:val="00830B4A"/>
    <w:rsid w:val="00844623"/>
    <w:rsid w:val="008877B3"/>
    <w:rsid w:val="008A54E2"/>
    <w:rsid w:val="008C6296"/>
    <w:rsid w:val="008D5529"/>
    <w:rsid w:val="00925887"/>
    <w:rsid w:val="00944C5A"/>
    <w:rsid w:val="00950FDE"/>
    <w:rsid w:val="009611B4"/>
    <w:rsid w:val="009F7B58"/>
    <w:rsid w:val="00A26FD8"/>
    <w:rsid w:val="00A328E1"/>
    <w:rsid w:val="00A352A1"/>
    <w:rsid w:val="00A35505"/>
    <w:rsid w:val="00A56C9D"/>
    <w:rsid w:val="00A60260"/>
    <w:rsid w:val="00A83C0E"/>
    <w:rsid w:val="00A96510"/>
    <w:rsid w:val="00AB701F"/>
    <w:rsid w:val="00AD3ACB"/>
    <w:rsid w:val="00AD6A60"/>
    <w:rsid w:val="00AF5607"/>
    <w:rsid w:val="00B009B7"/>
    <w:rsid w:val="00B9309C"/>
    <w:rsid w:val="00BC13D5"/>
    <w:rsid w:val="00C119D8"/>
    <w:rsid w:val="00C6711D"/>
    <w:rsid w:val="00CC6618"/>
    <w:rsid w:val="00D33BA5"/>
    <w:rsid w:val="00D367E5"/>
    <w:rsid w:val="00D467AB"/>
    <w:rsid w:val="00D71B36"/>
    <w:rsid w:val="00D74326"/>
    <w:rsid w:val="00DA5C90"/>
    <w:rsid w:val="00DD7E9A"/>
    <w:rsid w:val="00E00E86"/>
    <w:rsid w:val="00E24CE8"/>
    <w:rsid w:val="00E250DE"/>
    <w:rsid w:val="00E33D96"/>
    <w:rsid w:val="00E542D3"/>
    <w:rsid w:val="00E65BE6"/>
    <w:rsid w:val="00E675D0"/>
    <w:rsid w:val="00E87E22"/>
    <w:rsid w:val="00EF2E66"/>
    <w:rsid w:val="00EF6D55"/>
    <w:rsid w:val="00F062AE"/>
    <w:rsid w:val="00F929F6"/>
    <w:rsid w:val="00F931E6"/>
    <w:rsid w:val="00FC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A028"/>
  <w15:chartTrackingRefBased/>
  <w15:docId w15:val="{BF4C5CF9-CD08-48ED-BF04-E1E1834E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501E2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501E25"/>
    <w:rPr>
      <w:rFonts w:ascii="宋体" w:eastAsia="宋体" w:hAnsi="宋体" w:cs="宋体"/>
      <w:b/>
      <w:bCs/>
      <w:kern w:val="0"/>
      <w:sz w:val="24"/>
      <w:szCs w:val="24"/>
    </w:rPr>
  </w:style>
  <w:style w:type="paragraph" w:styleId="a3">
    <w:name w:val="Normal (Web)"/>
    <w:basedOn w:val="a"/>
    <w:uiPriority w:val="99"/>
    <w:semiHidden/>
    <w:unhideWhenUsed/>
    <w:rsid w:val="00501E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99766">
      <w:bodyDiv w:val="1"/>
      <w:marLeft w:val="0"/>
      <w:marRight w:val="0"/>
      <w:marTop w:val="0"/>
      <w:marBottom w:val="0"/>
      <w:divBdr>
        <w:top w:val="none" w:sz="0" w:space="0" w:color="auto"/>
        <w:left w:val="none" w:sz="0" w:space="0" w:color="auto"/>
        <w:bottom w:val="none" w:sz="0" w:space="0" w:color="auto"/>
        <w:right w:val="none" w:sz="0" w:space="0" w:color="auto"/>
      </w:divBdr>
    </w:div>
    <w:div w:id="9034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郭顺子</dc:creator>
  <cp:keywords/>
  <dc:description/>
  <cp:lastModifiedBy>郭顺子</cp:lastModifiedBy>
  <cp:revision>2</cp:revision>
  <dcterms:created xsi:type="dcterms:W3CDTF">2025-07-10T02:25:00Z</dcterms:created>
  <dcterms:modified xsi:type="dcterms:W3CDTF">2025-07-10T02:39:00Z</dcterms:modified>
</cp:coreProperties>
</file>